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4"/>
          <w:rtl w:val="0"/>
        </w:rPr>
        <w:t xml:space="preserve">Breaking News Simulation Rubric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Exemplary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Proficient</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Below standard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Did not demonstrate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Requirements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All required posts are written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All required posts are written, but may be missing one or two requirements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About 75% of the requirements are met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50% or fewer of the requirements are met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Content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accurately and thoroughly capture the nuances of each breaking news event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accurately describe each breaking news event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describe each breaking news event, but may lack necessary detail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seldom provide enough information about each event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Progression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tell a strong, compelling story when read as a whole; it is clear the student took care when moving from one event to the next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are related, telling a complete story when read as a whole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tell a story, but do not show a strong relationship with one another, so the story is somewhat fractured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do not tell a strong story when taken as a whole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Social Media</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are strategically written for each social media type (e.g. Twitter or Facebook), demonstrating a strong command of the differences between each outlet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reflect a command of the rules for writing for each social media type (e.g. Twitter or Facebook)</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usually reflect a command of the rules for writing for each social media type (e.g. Twitter or Facebook), but may miss the mark by going over 140 characters on Twitter posts or otherwise reflect a lack of understanding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do not seem strategically matched to the required social media tool; it may be difficult to determine the intended outlet for most posts based on construction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Writing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In addition to the proficient level, posts are compelling and interesting to read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are easy to understand and use words strategically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Some posts may be vague and lack detail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Posts are confusing and lack sufficient detail to reflect the story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Mechanics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Spelling and grammar are correct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Spelling and grammar are correct 90% of the time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Spelling and and grammar are correct 75% of the time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Spelling and grammar are correct less than 70% of the time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Total points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4"/>
                <w:rtl w:val="0"/>
              </w:rPr>
              <w:t xml:space="preserve">___/ points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News Simulation Rubric.docx</dc:title>
</cp:coreProperties>
</file>