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jc w:val="center"/>
        <w:rPr/>
      </w:pPr>
      <w:r w:rsidRPr="00000000" w:rsidR="00000000" w:rsidDel="00000000">
        <w:rPr>
          <w:b w:val="1"/>
          <w:rtl w:val="0"/>
        </w:rPr>
        <w:t xml:space="preserve">Concept Map Rubric</w:t>
      </w:r>
    </w:p>
    <w:p w:rsidP="00000000" w:rsidRPr="00000000" w:rsidR="00000000" w:rsidDel="00000000" w:rsidRDefault="00000000">
      <w:pPr>
        <w:widowControl w:val="0"/>
        <w:contextualSpacing w:val="0"/>
        <w:rPr/>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500"/>
        <w:gridCol w:w="2025"/>
        <w:gridCol w:w="1920"/>
        <w:gridCol w:w="1965"/>
        <w:gridCol w:w="1950"/>
      </w:tblGrid>
      <w:tr>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 </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10 (A)</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8.5 (B)</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7 (C)</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5.5 (D)</w:t>
            </w:r>
          </w:p>
        </w:tc>
      </w:tr>
      <w:tr>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Organization</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Ideas are well-organized in a logical format with a clear, established hierarchy from the biggest idea in the center (question), to the categories, to the answers within the categories. The map is easy to follow.</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Ideas are organized in a clear format with an established hierarchy that is mostly easy to follow. Differences between categories may be difficult to see, but answers within categories make sense.</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pPr>
            <w:r w:rsidRPr="00000000" w:rsidR="00000000" w:rsidDel="00000000">
              <w:rPr>
                <w:rtl w:val="0"/>
              </w:rPr>
              <w:t xml:space="preserve">Ideas are somewhat organized, but the hierarchy of ideas is somewhat confusing. There may be some confusion among the categories and some answers may not be placed within the correct category.</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Ideas are disorganized and there is little obvious hierarchy. It appears that the students did not take much time to organize their ideas. The map is confusing.</w:t>
            </w:r>
          </w:p>
        </w:tc>
      </w:tr>
      <w:tr>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Content</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Shows a complete understanding of and set of answers to the given question.</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Shows a reasonable understanding of and set of answers to the given question.</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Shows some understanding of and set of answers to the given question.</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Shows little understanding of and set of answers to the given question.</w:t>
            </w:r>
          </w:p>
        </w:tc>
      </w:tr>
      <w:tr>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Connections</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All words are accurately connected to general categories and the main question. Connections enhance meaning and demonstrate deep insight into the question.</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Most words are accurately connected to general categories and the main question. Connections facilitate meaning and demonstrate insight into the question.</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Some words are accurately connected to general categories and the main question. Connections provide meaning and demonstrate some insight into the question.</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Few words are accurately connected to general categories and the main question. Connections do not create meaning and demonstrate little insight into the question.</w:t>
            </w:r>
          </w:p>
        </w:tc>
      </w:tr>
    </w:tbl>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Map Rubric.docx</dc:title>
</cp:coreProperties>
</file>