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widowControl w:val="0"/>
        <w:contextualSpacing w:val="0"/>
        <w:jc w:val="center"/>
        <w:rPr/>
      </w:pPr>
      <w:r w:rsidRPr="00000000" w:rsidR="00000000" w:rsidDel="00000000">
        <w:rPr>
          <w:b w:val="1"/>
          <w:rtl w:val="0"/>
        </w:rPr>
        <w:t xml:space="preserve">Rubric for Social Media Investigation and Processing Activity</w:t>
      </w:r>
    </w:p>
    <w:p w:rsidP="00000000" w:rsidRPr="00000000" w:rsidR="00000000" w:rsidDel="00000000" w:rsidRDefault="00000000">
      <w:pPr>
        <w:widowControl w:val="0"/>
        <w:contextualSpacing w:val="0"/>
        <w:jc w:val="center"/>
        <w:rPr/>
      </w:pPr>
      <w:r w:rsidRPr="00000000" w:rsidR="00000000" w:rsidDel="00000000">
        <w:rPr>
          <w:b w:val="1"/>
          <w:rtl w:val="0"/>
        </w:rPr>
        <w:t xml:space="preserve"> </w:t>
      </w:r>
    </w:p>
    <w:p w:rsidP="00000000" w:rsidRPr="00000000" w:rsidR="00000000" w:rsidDel="00000000" w:rsidRDefault="00000000">
      <w:pPr>
        <w:widowControl w:val="0"/>
        <w:contextualSpacing w:val="0"/>
        <w:rPr/>
      </w:pPr>
      <w:r w:rsidRPr="00000000" w:rsidR="00000000" w:rsidDel="00000000">
        <w:rPr>
          <w:rtl w:val="0"/>
        </w:rPr>
        <w:t xml:space="preserve">Student Name: ____________________________________  Date: ___________________</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tbl>
      <w:tblPr>
        <w:bidiVisual w:val="0"/>
        <w:tblW w:w="9373.0" w:type="dxa"/>
        <w:jc w:val="left"/>
        <w:tblBorders>
          <w:top w:color="000000" w:space="0" w:val="single" w:sz="8"/>
          <w:left w:color="000000" w:space="0" w:val="single" w:sz="8"/>
          <w:bottom w:color="000000" w:space="0" w:val="single" w:sz="8"/>
          <w:right w:color="000000" w:space="0" w:val="single" w:sz="8"/>
          <w:insideH w:color="000000" w:space="0" w:val="single" w:sz="8"/>
          <w:insideV w:color="000000" w:space="0" w:val="single" w:sz="8"/>
        </w:tblBorders>
        <w:tblLayout w:type="fixed"/>
      </w:tblPr>
      <w:tblGrid>
        <w:gridCol w:w="1800"/>
        <w:gridCol w:w="1965"/>
        <w:gridCol w:w="1869"/>
        <w:gridCol w:w="1869"/>
        <w:gridCol w:w="1869"/>
      </w:tblGrid>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10</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8.5</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7</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5.5</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Content (chart)</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 includes several relevant pros and cons for each social media platform in terms of how well it can be used to draw readers to a website. Additionally, all questions about the news outlet's use of the tool are answered completely and comprehensively.</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pPr>
            <w:r w:rsidRPr="00000000" w:rsidR="00000000" w:rsidDel="00000000">
              <w:rPr>
                <w:rtl w:val="0"/>
              </w:rPr>
              <w:t xml:space="preserve">Student includes a few relevant pros and cons for each social media platform in terms of how well it can be used to draw readers to a website. Additionally, all questions about the news outlet's use of the tool are answered completely.</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pPr>
            <w:r w:rsidRPr="00000000" w:rsidR="00000000" w:rsidDel="00000000">
              <w:rPr>
                <w:rtl w:val="0"/>
              </w:rPr>
              <w:t xml:space="preserve">Student includes a few pros and cons for each social media platform in terms of how well it can be used to draw readers to a website. Additionally, most questions about the news outlet's use of the tool are answered completely.</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pPr>
            <w:r w:rsidRPr="00000000" w:rsidR="00000000" w:rsidDel="00000000">
              <w:rPr>
                <w:rtl w:val="0"/>
              </w:rPr>
              <w:t xml:space="preserve">Student includes one pro and con for each social media platform in terms of how well it can be used to draw readers to a website. However, questions about the news outlet's use of the tool are not answered completely. </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Analysis (chart)</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pros and cons and analysis of the news outlets’ uses of the tools are insightful and in-depth.</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pros and cons and analysis of the news outlets’ uses of the tools are insightful.</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pros and cons and analysis of the news outlets’ uses of the tools show some thought.</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Student’s pros and cons and analysis of the news outlets’ uses of the tools show little thought.</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Message (creation)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message of the creation is clear, accurate, and complete. The reader has no questions about how journalists can use social media or the pros and cons of various tools.</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pPr>
            <w:r w:rsidRPr="00000000" w:rsidR="00000000" w:rsidDel="00000000">
              <w:rPr>
                <w:rtl w:val="0"/>
              </w:rPr>
              <w:t xml:space="preserve">The message of the creation is clear and accurate, but may not be complete. The reader has few questions about how journalists can use social media or the pros and cons of various tools.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message of the creation is accurate, but unclear and may not be complete. The reader has some questions about how journalists can use social media or the pros and cons of various tools.</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message of the creation is inaccurate, unclear and may not be complete. The reader has questions about how journalists can use social media or the pros and cons of various tools.</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 </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10</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8.5</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7</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5.5</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Creativity (creation)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student has used many creative details, which may include examples, color, fonts, attractive design, graphics or other interesting details that draw the reader into the creation.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student has used some creative details, which may include examples, color, fonts, attractive design, graphics or other interesting details that draw the reader into the creation.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student has used few creative details, which may include examples, color, fonts, attractive design, graphics or other interesting details that draw the reader into the creation.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The student has used very little creative details. The creation may be sloppy or appear like it was put together at the last minute, with little forethought.</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Structure (creation)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Each part of the creation is clearly defined. It is easy to read and access the information.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Each part of the creation is defined. It is somewhat easy to read and access the information.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Most parts of the creation are defined. It is challenging to read and access the information.</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Few parts of the creation are defined. It is difficult to read and access the information.</w:t>
            </w:r>
          </w:p>
        </w:tc>
      </w:tr>
      <w:tr>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b w:val="1"/>
                <w:rtl w:val="0"/>
              </w:rPr>
              <w:t xml:space="preserve">Mechanics (both)</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Very few grammar, spelling or other mechanical errors are present, in either the creation or the chart. It is clear the student has a firm grasp on the conventions of the English language.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Some grammar, spelling or other mechanical errors are present, in either the creation or the chart. It is clear the student has a grasp on the conventions of the English language.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Many grammar, spelling or other mechanical errors are present, in either the creation or the chart. It is clear the student has some grasp on the conventions of the English language.</w:t>
            </w:r>
          </w:p>
        </w:tc>
        <w:tc>
          <w:tcPr>
            <w:tcMar>
              <w:top w:w="120.0" w:type="dxa"/>
              <w:left w:w="120.0" w:type="dxa"/>
              <w:bottom w:w="120.0" w:type="dxa"/>
              <w:right w:w="120.0" w:type="dxa"/>
            </w:tcMar>
          </w:tcPr>
          <w:p w:rsidP="00000000" w:rsidRPr="00000000" w:rsidR="00000000" w:rsidDel="00000000" w:rsidRDefault="00000000">
            <w:pPr>
              <w:widowControl w:val="0"/>
              <w:contextualSpacing w:val="0"/>
              <w:jc w:val="center"/>
              <w:rPr/>
            </w:pPr>
            <w:r w:rsidRPr="00000000" w:rsidR="00000000" w:rsidDel="00000000">
              <w:rPr>
                <w:rtl w:val="0"/>
              </w:rPr>
              <w:t xml:space="preserve">Frequent grammar, spelling or other mechanical errors are present, in either the creation or the chart. It is clear the student has little grasp on the conventions of the English language.</w:t>
            </w:r>
          </w:p>
        </w:tc>
      </w:tr>
    </w:tbl>
    <w:p w:rsidP="00000000" w:rsidRPr="00000000" w:rsidR="00000000" w:rsidDel="00000000" w:rsidRDefault="00000000">
      <w:pPr>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keepNext w:val="0"/>
        <w:keepLines w:val="0"/>
        <w:widowControl w:val="0"/>
        <w:contextualSpacing w:val="0"/>
        <w:rPr/>
      </w:pPr>
      <w:r w:rsidRPr="00000000" w:rsidR="00000000" w:rsidDel="00000000">
        <w:rPr>
          <w:rtl w:val="0"/>
        </w:rPr>
        <w:t xml:space="preserve"> </w:t>
      </w:r>
    </w:p>
    <w:p w:rsidP="00000000" w:rsidRPr="00000000" w:rsidR="00000000" w:rsidDel="00000000" w:rsidRDefault="00000000">
      <w:pPr>
        <w:widowControl w:val="0"/>
        <w:contextualSpacing w:val="0"/>
        <w:jc w:val="right"/>
        <w:rPr/>
      </w:pPr>
      <w:r w:rsidRPr="00000000" w:rsidR="00000000" w:rsidDel="00000000">
        <w:rPr>
          <w:rtl w:val="0"/>
        </w:rPr>
        <w:t xml:space="preserve">Total: ________________/ 60</w:t>
      </w:r>
    </w:p>
    <w:p w:rsidP="00000000" w:rsidRPr="00000000" w:rsidR="00000000" w:rsidDel="00000000" w:rsidRDefault="00000000">
      <w:pPr>
        <w:keepNext w:val="0"/>
        <w:keepLines w:val="0"/>
        <w:widowControl w:val="0"/>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keepNext w:val="0"/>
      <w:keepLines w:val="0"/>
      <w:widowControl w:val="1"/>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keepNext w:val="1"/>
      <w:keepLines w:val="1"/>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keepNext w:val="1"/>
      <w:keepLines w:val="1"/>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keepNext w:val="1"/>
      <w:keepLines w:val="1"/>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keepNext w:val="1"/>
      <w:keepLines w:val="1"/>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keepNext w:val="1"/>
      <w:keepLines w:val="1"/>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keepNext w:val="1"/>
      <w:keepLines w:val="1"/>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keepNext w:val="1"/>
      <w:keepLines w:val="1"/>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keepNext w:val="1"/>
      <w:keepLines w:val="1"/>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Investigation/Brochure Rubric.docx</dc:title>
</cp:coreProperties>
</file>