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Investigation Rubric</w:t>
      </w:r>
    </w:p>
    <w:p w:rsidP="00000000" w:rsidRPr="00000000" w:rsidR="00000000" w:rsidDel="00000000" w:rsidRDefault="00000000">
      <w:pPr>
        <w:keepNext w:val="0"/>
        <w:keepLines w:val="0"/>
        <w:widowControl w:val="0"/>
        <w:contextualSpacing w:val="0"/>
        <w:rPr/>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500"/>
        <w:gridCol w:w="2025"/>
        <w:gridCol w:w="1920"/>
        <w:gridCol w:w="1965"/>
        <w:gridCol w:w="1950"/>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 (A)</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 (B)</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 (C)</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 (D)</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Content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include 7-10 relevant, professional examples of the entrepreneurship type from media organizations as well a developed list for how they can be used in a high school setting.</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Students include 6-8 appropriate professional examples of the entrepreneurship type from media organizations as well a reasoned list for how they can be used in a high school setting.</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include 4-6 professional examples of the entrepreneurship type from media organizations as well a list for how they can be used in a high school setting.</w:t>
            </w:r>
          </w:p>
          <w:p w:rsidP="00000000" w:rsidRPr="00000000" w:rsidR="00000000" w:rsidDel="00000000" w:rsidRDefault="00000000">
            <w:pPr>
              <w:widowControl w:val="0"/>
              <w:contextualSpacing w:val="0"/>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Students include 2-4 examples of the entrepreneurship type from media organizations as well a partial list for how they can be used in a high school setting OR the list is missing.</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Analysis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list and paragraph analysis are insightful and in-depth.</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list and paragraph analysis are insightful.</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list and paragraph analysis show some thought.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list and paragraph analysis show little thought OR one is missing.</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Poster</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many creative details, which may include color, attractive design, graphics or other interesting details. It is easy to read and access the information. Very few grammar, spelling or other mechanical errors are present.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The student has used some creative details, which may include color, attractive design, graphics or other interesting details. It is somewhat easy to read and access the information. Some grammar, spelling or other mechanical errors are present.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few creative details, which may include color, attractive design, graphics or other interesting details. It is challenging to read and access the information. Many grammar, spelling or other mechanical errors are present.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very little creative details. The creation may be sloppy or appear like it was put together at the last minute, with little forethought. It is difficult to read and access the information. Frequent grammar, spelling or other mechanical errors are present</w:t>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 Rubric.docx</dc:title>
</cp:coreProperties>
</file>