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Teacher Instructions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w:t>
      </w:r>
      <w:r w:rsidRPr="00000000" w:rsidR="00000000" w:rsidDel="00000000">
        <w:rPr>
          <w:rtl w:val="0"/>
        </w:rPr>
        <w:t xml:space="preserve">. Distribute materials for Simulation 1, which requires students to write posts for various social media as the teacher presents different facts about a developing news story via slideshow or by simply reading the new developments out loud. Students may work in small teams or on their own, depending on their readiness and teacher goals.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Explain the simulation instructions, going through each step in the process and being sure to review the rubric requirements for a good social media post with students before starting. Here is an example script: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“You are going to participate in a time-sensitive simulation of a breaking news event during class today. This will require you to listen carefully while I read updates about an event and write the type of social media post that I tell you to write after each development in the story. You should keep in mind our discussions about effective and ineffective social media posts, as well as the notes we took on writing properly for social media. Each post you write will be graded based on the social media rubric we have used together. Are there any questions?”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Once students are ready, read the opening situation for the simulation and prompt students to write a Twitter post; the beginning gives the background for the scenario, as follows: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The quarterback of the Tigers football team, junior Andrew Weaver, has collapsed in the middle of the third quarter of the Homecoming football game, holding his stomach and screaming. Weaver had previously thrown for three touchdowns, with the team leading over the Spiders at 21-7. Paramedics are running onto the football field and general panic is settling over the crowd. Weaver’s girlfriend, senior Angela Snow, the drum major for the marching band, is running toward him, leaving her post.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After students have had several minutes to write a Twitter post, read the next piece of information and prompt students to write a Twitter update AND a Facebook post.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Weaver has been taken off the field on a stretcher and freshman replacement quarterback Mitchell Isaacs has taken over. Isaacs has never played in a varsity game, but has lead the JV team to a record of 2-1 so far. Snow has departed with Weaver and junior Peter Monroe has taken over as drum major.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Continue reading through the following updates, asking students to write a Twitter or Facebook post, according to your preferences.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At the end of the fourth quarter, the Spiders have scored two touchdowns, but Isaacs has yet to complete a pass; the score is 21-21. With 30 seconds remaining on the clock, Isaacs hands off to senior Tristan Lin, who runs the ball for a first down at 18 yards.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The Tigers win the Homecoming football game 24-21, thanks to a last-minute field goal. Though Isaacs did not assist with a touchdown, the team still high-fives him before rushing off in a bus to the local hospital to find out about Weaver’s condition.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Weaver’s parents, Jack and Cindy, release a statement through the school the next morning, stating that his appendix had been inflamed and burst after a tackle during the game. He has been in surgery, but will recover; however, he will miss several weeks of school. Snow still dresses for the Homecoming dance on Saturday, but visits Weaver in the hospital instead of going to the dance with her friends.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The following week, the football coach announces that Isaacs will take over during Weaver’s absence. He practices during the week and throws one pass for a touchdown against the Bears, but the team still loses, 7-30.</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Ask students to trade posts with a partner/another group and to critique the list of posts against the rubric, marking one that is their favorite and one that needs the most work. Students should then turn in their work for evaluation.</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1 — Teacher.docx</dc:title>
</cp:coreProperties>
</file>