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Collaboration Rubric</w:t>
      </w:r>
    </w:p>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00"/>
        <w:gridCol w:w="2025"/>
        <w:gridCol w:w="1920"/>
        <w:gridCol w:w="1965"/>
        <w:gridCol w:w="1950"/>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 (A)</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 (B)</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 (C)</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 (D)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Contributions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frequently provides useful ideas that further the discussion when sharing in both small and large group settings, building on the ideas of others. Acts as a leader.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usually provides useful ideas that further the discussion when sharing in both small and large group settings, relating their ideas to the ideas of others. Acts as a contributor.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occasionally provides useful ideas that further the discussion when sharing in both small and large group settings, sometimes referring to the ideas of others. Acts as a follower.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seldom provides ideas that further the discussion when sharing in both small and large group settings, rarely relating their own ideas to the ideas of others. Acts as an observer.</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Preparation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comes to discussions prepared, having fully completed the preparatory work in depth and uses their preparation to contribute to the discussion.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comes to discussions somewhat prepared, having completed the preparatory work and sometimes uses their preparation to contribute to the discussion.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comes to discussions with some preparation completed, but not all of it, and occasionally uses their preparation to contribute to the discussion.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does not come to discussions prepared, and so cannot use their preparation to contribute to the discussion.</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Collaboration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maintains a positive attitude and offers creative solutions to problems, critiquing rather than criticizing others’ ideas. They remain focused on the task and help monitor the group process, leading to an efficient use of time.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maintains a positive attitude and offers solutions to problems, critiquing rather than criticizing others’ ideas. They mostly  remain focused on the task and encourage others to do the same.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usually maintains a positive attitude, but may criticize more than critique others’ ideas. They may get off task occasionally and need to be reminded to persist with the problem at hand.</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seldom maintains a positive attitude and criticizes more than critiques others’ ideas. They get off task and need to be reminded to persist with the problem at hand or may attempt to get the group off task on purpose to avoid work.</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12W L1.2 Collaboration Rubric.docx</dc:title>
</cp:coreProperties>
</file>