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Examples of policies: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http://www.shiftcomm.com/downloads/socialmediaguidelines.pdf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ASME “Mitigating the Risks”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https://www.asme.org/career-education/articles/legal-issues-for-engineers/mitigating-the-legal-risks-of-social-media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ASME Legal checklist: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http://www.asaecenter.org/Resources/ANowDetail.cfm?ItemNumber=46330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asme.org/career-education/articles/legal-issues-for-engineers/mitigating-the-legal-risks-of-social-media" Type="http://schemas.openxmlformats.org/officeDocument/2006/relationships/hyperlink" TargetMode="External" Id="rId6"/><Relationship Target="http://www.shiftcomm.com/downloads/socialmediaguidelines.pdf" Type="http://schemas.openxmlformats.org/officeDocument/2006/relationships/hyperlink" TargetMode="External" Id="rId5"/><Relationship Target="http://www.asaecenter.org/Resources/ANowDetail.cfm?ItemNumber=46330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links.docx</dc:title>
</cp:coreProperties>
</file>