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Name ____________________________________________________ Hour 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Article 2 Handout: “FERPA Fundamentalism: How a federal law designed to protect student privacy is being misinterpreted to injure press freedom”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Background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The 1974 Family Educational Rights and Privacy Act protects what?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What are some exceptions to FERPA?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The information must be ________________ and _________________ by the public institution.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FERPA and the Student Press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What’s the problem with photographs being deemed directory information?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What could be a problem with having a list of “approved” and “not approved” list for student publications?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6. What are some legal implications of such lists?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FERPA and the Courts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7. One important distinction involves who is disclosing the information. What is this importtant distinction?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8. Why is</w:t>
      </w:r>
      <w:r w:rsidRPr="00000000" w:rsidR="00000000" w:rsidDel="00000000">
        <w:rPr>
          <w:i w:val="1"/>
          <w:rtl w:val="0"/>
        </w:rPr>
        <w:t xml:space="preserve"> Frasca v Andrews</w:t>
      </w:r>
      <w:r w:rsidRPr="00000000" w:rsidR="00000000" w:rsidDel="00000000">
        <w:rPr>
          <w:rtl w:val="0"/>
        </w:rPr>
        <w:t xml:space="preserve"> so important in this section?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FERPA and the Department of Education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9. Does FERPA apply to police reports?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10. According to the article, has the Department of Education ever enforced a FERPA claim against student media?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11. True or False: If the students make the content decisions, then FERPA couldn’t apply.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12. What case rejected the idea that “online media were entitled to a lesser level or First Amendment protection”?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2 Handout (SPLC).docx</dc:title>
</cp:coreProperties>
</file>