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rPr/>
      </w:pPr>
      <w:r w:rsidRPr="00000000" w:rsidR="00000000" w:rsidDel="00000000">
        <w:rPr>
          <w:b w:val="1"/>
          <w:sz w:val="32"/>
          <w:rtl w:val="0"/>
        </w:rPr>
        <w:t xml:space="preserve">Court case list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Teachers, please cut the foll</w:t>
      </w:r>
      <w:r w:rsidRPr="00000000" w:rsidR="00000000" w:rsidDel="00000000">
        <w:rPr>
          <w:rtl w:val="0"/>
        </w:rPr>
        <w:t xml:space="preserve">owing as indicated in the lesson plan or you could project the list and allow student pairs to choose their case.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• Bethel District No. 4 v Fraser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 B.H. v Easton Area School District (I heart boobies) (2013)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 Dean v. Utica Community Schools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 Douglass v Londonderry Schools et al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 Draudt v. Wooster City School District Board of Education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 Frasca v. Andrews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 Gambino v. Fairfax County School Board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 Hazelwood School District v. Kuhlmeier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 Mahaffey v. Aldrich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• Miller v. California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 Morse v. Frederick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 Neal et al. v. Efurd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 Near v. Minnesota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• Owasso Independent Schools Dist. No 1011 v Falvo (grading/FERPA)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 Smith v. Novato Unified School System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• TicketMaster v. Tickets.com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• Times v. Sullivan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 Tinker v. Des Moines Independent Community School District (if not used as sample)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 West Virginia State Board of Ed. v. Barnette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• Yeo v. Town of Lexington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• Zucker v. Panitz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• SPLC current events – Find three articles relevant to high school journalists within the past six months. Share the facts with the class.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List.docx</dc:title>
</cp:coreProperties>
</file>