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Video outline: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0-1:43 — Overall intro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1:43-3:45 — “Blowin in the Wind”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3:45-4:34 — small discussion to help them with their task and what “America Sings” 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4:34-8:36 — “What’s Goin’ On”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8:36-13:00 — intro and “Choice of Colors” (by Curtis Mayfield)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13:00--15:49 — intro and “I am Woman”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15:50-17:28 — intro and “The Pill”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17:29-21:56 — intro and “Independence Day”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22:20-25:20 — intro and “Big Yellow Taxi”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25:20-27:39 — intro and “Mercy Mercy Me”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28:20-28:15 — intro and “Short People”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Stop at 28:15 or the students will be restating what is on the video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28:15-31:20 — continued discussion on “Short People”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31:20 — What the First Amendment stands for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32:00-36:05 — intro and “American Skin”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36:05-41:44 — intro and “Biggest Thing that Man has Ever Done”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41:44-42:22 — intro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Again, stop at 42:22. Have students present. When they finish, the proceed with the rest of the video (50:36).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