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Topics from which to chose: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First Amendment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Press Freedom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Terminology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Cases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Libel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Copyright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Invasion of Privacy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Freedom of Information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Reporter’s Privilege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Legal scenarios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Law vs. Ethics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Common pitfalls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Anonymous sources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Fair, balanced and accurate journalism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Red Light, Green Light approach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TUFF approach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Infotainment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Ethical lapses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Topics for Review Game.docx</dc:title>
</cp:coreProperties>
</file>