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Using Databases for In-depth Reporting</w:t>
      </w:r>
    </w:p>
    <w:p w:rsidR="00000000" w:rsidDel="00000000" w:rsidP="00000000" w:rsidRDefault="00000000" w:rsidRPr="00000000">
      <w:pPr>
        <w:widowControl w:val="0"/>
        <w:contextualSpacing w:val="0"/>
      </w:pPr>
      <w:r w:rsidDel="00000000" w:rsidR="00000000" w:rsidRPr="00000000">
        <w:rPr>
          <w:i w:val="1"/>
          <w:sz w:val="20"/>
          <w:szCs w:val="20"/>
          <w:rtl w:val="0"/>
        </w:rPr>
        <w:t xml:space="preserve">Following the example given, record your name and story slug. Summarize information for your story found in a database and cite the source of the information and database used. Information from at least one current, up-to-date database article must be used for your story.</w:t>
      </w:r>
    </w:p>
    <w:p w:rsidR="00000000" w:rsidDel="00000000" w:rsidP="00000000" w:rsidRDefault="00000000" w:rsidRPr="00000000">
      <w:pPr>
        <w:widowControl w:val="0"/>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Student name and</w:t>
              <w:br w:type="textWrapping"/>
              <w:t xml:space="preserve">story slug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Information to use in story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Source of the information and database used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John Doe</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HS sports concussions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2e2e2e"/>
                <w:sz w:val="20"/>
                <w:szCs w:val="20"/>
                <w:highlight w:val="white"/>
                <w:rtl w:val="0"/>
              </w:rPr>
              <w:t xml:space="preserve">In evaluating symptoms and neurocognitive recovery patterns after sports-related concussion in high school and college athletes, high school athletes with concussion had prolonged memory dysfunction compared with college athletes with concussion. High school athletes performed significantly worse than age-matched control subjects seven days after injury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widowControl w:val="0"/>
              <w:spacing w:after="100" w:line="240" w:lineRule="auto"/>
              <w:contextualSpacing w:val="0"/>
            </w:pPr>
            <w:bookmarkStart w:colFirst="0" w:colLast="0" w:name="h.gjdgxs" w:id="0"/>
            <w:bookmarkEnd w:id="0"/>
            <w:r w:rsidDel="00000000" w:rsidR="00000000" w:rsidRPr="00000000">
              <w:rPr>
                <w:rFonts w:ascii="Arial" w:cs="Arial" w:eastAsia="Arial" w:hAnsi="Arial"/>
                <w:sz w:val="20"/>
                <w:szCs w:val="20"/>
                <w:rtl w:val="0"/>
              </w:rPr>
              <w:t xml:space="preserve">The Journal of Pediatrics, Volume 142, Issue 5, May 2003, Pages 546-553. “</w:t>
            </w:r>
            <w:r w:rsidDel="00000000" w:rsidR="00000000" w:rsidRPr="00000000">
              <w:rPr>
                <w:rFonts w:ascii="Arial" w:cs="Arial" w:eastAsia="Arial" w:hAnsi="Arial"/>
                <w:color w:val="5c5c5c"/>
                <w:sz w:val="20"/>
                <w:szCs w:val="20"/>
                <w:highlight w:val="white"/>
                <w:rtl w:val="0"/>
              </w:rPr>
              <w:t xml:space="preserve">Does age play a role in recovery from sports-related concussion? A comparison of high school and collegiate athletes” (Google Scholar)</w:t>
            </w:r>
            <w:r w:rsidDel="00000000" w:rsidR="00000000" w:rsidRPr="00000000">
              <w:rPr>
                <w:rtl w:val="0"/>
              </w:rPr>
            </w:r>
          </w:p>
          <w:p w:rsidR="00000000" w:rsidDel="00000000" w:rsidP="00000000" w:rsidRDefault="00000000" w:rsidRPr="00000000">
            <w:pPr>
              <w:widowControl w:val="0"/>
              <w:spacing w:line="240" w:lineRule="auto"/>
              <w:contextualSpacing w:val="0"/>
            </w:pPr>
            <w:bookmarkStart w:colFirst="0" w:colLast="0" w:name="h.30j0zll" w:id="1"/>
            <w:bookmarkEnd w:id="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