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Student Name 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Beat Rapport Building Exit Ticket</w:t>
      </w:r>
    </w:p>
    <w:p w:rsidR="00000000" w:rsidDel="00000000" w:rsidP="00000000" w:rsidRDefault="00000000" w:rsidRPr="00000000">
      <w:pPr>
        <w:contextualSpacing w:val="0"/>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From your knowledge of beat reporting and discussion of rapport building with sources, how will you carry out your beat responsibilities? How will you go about building and maintaining relationships with sources? Explain the importance of reliability, credibility and honesty to beat reporting.</w:t>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Write 5 to 7 sentences.</w:t>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b w:val="1"/>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