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Research Vocabulary Terms</w:t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i w:val="1"/>
          <w:sz w:val="20"/>
          <w:rtl w:val="0"/>
        </w:rPr>
        <w:t xml:space="preserve">The definition is supplied. Write the correct term to create a vocabulary study sheet.</w:t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57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Vocabulary Term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color w:val="191919"/>
                <w:rtl w:val="0"/>
              </w:rPr>
              <w:t xml:space="preserve">Definition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1.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Organized, searchable information found on a computer.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2.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Use of computers to gather information and analyze data.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3.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Factual, unbiased, well-sourced information based on reliable research, produced by qualified authors, has this.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4.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This is the opportunity to witness events as they occur with your own eyes, noting the environment and demeanor of sources as well as what is happening.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5.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Factual information used in a story. Usually refers to numerical information gathered through database research, but it may also refer to the results of polls or surveys, or other lists of facts.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6.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Public records, letters, and related articles to a story topic are examples.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7.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Used in journalism to develop story background, understand a topic, determine sources, and learn about sources prior to interviewing.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8.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Interview format where the source is simultaneously interviewed by a group or pool of reporters.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9.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This is the use of a group of people to gain information, usually through the Internet or social media.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10.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A survey of a sample population to create data based on trends or public opinion.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11.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A group of sources connected to a topic come together to present and answer questions from an audience.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12.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Sharing of information by reporters of different news agencies and involved citizens to help cover a story topic.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13.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Information that is based on primary research by qualified, unbiased researchers is considered to have this.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14.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Official documents available for public use. These are free from confidentiality agreements.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15.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Written account of a spoken event, such as a press conference, interview, or speech.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16.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Original, first-hand material; sources or documents that reflect first-hand experience.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17.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Laws allowing access to official government records and documents at local, state and federal levels. Laws differ by region and state.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18.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Regulations requiring openness and advance notice in government proceedings.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19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This is a method of gathering information based on a sample population, usually with  open-ended questions.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20.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Information is passed down to source before given to reporter or information that is reported in another publication.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Answer Key: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1. database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2. computer-assisted reporting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3. validity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4. observation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5. data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6. documents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7. research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8. press conference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9. crowd sourcing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10. poll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11. panel discussion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12. open source reporting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13. reliability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14. public records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15. transcript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16. primary source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17. open records laws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18. sunshine laws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19. survey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20. secondary source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Vocabulary Terms.docx</dc:title>
</cp:coreProperties>
</file>