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commentRangeStart w:id="0"/>
      <w:r w:rsidRPr="00000000" w:rsidR="00000000" w:rsidDel="00000000">
        <w:rPr>
          <w:b w:val="1"/>
          <w:sz w:val="20"/>
          <w:rtl w:val="0"/>
        </w:rPr>
        <w:t xml:space="preserve">Purpos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b w:val="1"/>
          <w:sz w:val="20"/>
          <w:rtl w:val="0"/>
        </w:rPr>
        <w:t xml:space="preserve">e Quiz: </w:t>
      </w:r>
      <w:r w:rsidRPr="00000000" w:rsidR="00000000" w:rsidDel="00000000">
        <w:rPr>
          <w:sz w:val="20"/>
          <w:rtl w:val="0"/>
        </w:rPr>
        <w:t xml:space="preserve">As</w:t>
      </w:r>
      <w:r w:rsidRPr="00000000" w:rsidR="00000000" w:rsidDel="00000000">
        <w:rPr>
          <w:sz w:val="20"/>
          <w:rtl w:val="0"/>
        </w:rPr>
        <w:t xml:space="preserve"> each group shares a passage, record the topic. Next, circle the purpose that best fits the passage. Then explain what you think the specific purpose is with evidence to support your answer.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75"/>
        <w:gridCol w:w="77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Group 1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Reading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Reading 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75"/>
        <w:gridCol w:w="77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Group 2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75"/>
        <w:gridCol w:w="77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Group 3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75"/>
        <w:gridCol w:w="77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Group 4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75"/>
        <w:gridCol w:w="77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Group 5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75"/>
        <w:gridCol w:w="77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Group 6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Reading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Inform                   Persuade                   Entertain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Specific Purpose: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4-01-09T10:28:59Z" w:author="Sarah Nichols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Answer key needed.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Quiz: Purpose.docx</dc:title>
</cp:coreProperties>
</file>