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Exploring Elbert’s Hierarchy of Photography</w:t>
        <w:tab/>
        <w:t xml:space="preserve">    Name: 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 xml:space="preserve">Using Internet resources, find one photograph that fits into each category on Joe Elbert’s hierarchy of photography. Print each photo and attach it to this document. Then answer the following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u w:val="single"/>
          <w:rtl w:val="0"/>
        </w:rPr>
        <w:t xml:space="preserve">Level 1: Informational</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A.  What photo did you choose for this level?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B.  Explain why this photo fits the Informational category: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u w:val="single"/>
          <w:rtl w:val="0"/>
        </w:rPr>
        <w:t xml:space="preserve">Level 2: Graphically Appealing</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A.  What photo did you choose for this level?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B.  Explain why this photo fits the Graphically Appealing category: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u w:val="single"/>
          <w:rtl w:val="0"/>
        </w:rPr>
        <w:t xml:space="preserve">Level 3: Emotionally Appealing</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A.  What photo did you choose for this level?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B.  Explain why this photo fits the Emotionally Appealing category: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u w:val="single"/>
          <w:rtl w:val="0"/>
        </w:rPr>
        <w:t xml:space="preserve">Level 4: Intimate</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A.  What photo did you choose for this level?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B.  Explain why this photo fits the Intimate category: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Elbert’s Hierarchy of Photography  (goes in "Capture the Moment" lesson).docx</dc:title>
</cp:coreProperties>
</file>