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Covering an event for a beat r</w:t>
      </w:r>
      <w:r w:rsidDel="00000000" w:rsidR="00000000" w:rsidRPr="00000000">
        <w:rPr>
          <w:b w:val="1"/>
          <w:sz w:val="24"/>
          <w:szCs w:val="24"/>
          <w:rtl w:val="0"/>
        </w:rPr>
        <w:t xml:space="preserve">ubric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505"/>
        <w:gridCol w:w="1815"/>
        <w:tblGridChange w:id="0">
          <w:tblGrid>
            <w:gridCol w:w="2160"/>
            <w:gridCol w:w="2160"/>
            <w:gridCol w:w="2160"/>
            <w:gridCol w:w="2160"/>
            <w:gridCol w:w="2505"/>
            <w:gridCol w:w="1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Selection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demonstrate that they were able to examine and convey complex ideas, concepts, and information clearly and accurately through the effective selection, organization, and analysis of content.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demonstrate that they were able to examine and convey concepts and information clearly and accurately through the selection, organization, and analysis of content.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Might not convey complex understanding of the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demonstrate that they were able to examine and convey concepts and information through the selection, organization, and analysis of content.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Might not convey complex understanding of the ideas.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The work submitted lacks clarity or accuracy in parts.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unable to demonstrate that they were able to examine and convey concepts, ideas, or information..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Background research and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able to 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able to gather relevant information from multiple authoritative print and digital sources, using advanced searches effectively; assess the usefulness of each source in answering the research question.</w:t>
            </w:r>
          </w:p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not able to integrate information into the text selectively to maintain the flow of ideas; however, they did avoid plagiarism and followed a standard format for citation.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able to gather information from multiple sources; assess the usefulness of each source in answering the research question.</w:t>
            </w:r>
          </w:p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not able to integrate information into the text selectively to maintain the flow of ideas; however, they did avoid plagiarism and followed a standard format for citation.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unable to gather information from multiple sources; assess the usefulness of each source in answering the research question.</w:t>
            </w:r>
          </w:p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not able to integrate information into the text selectively to maintain the flow of ideas. </w:t>
            </w:r>
          </w:p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and/or</w:t>
            </w:r>
          </w:p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They did not avoid plagiarism or followed a standard format for citation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Written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able to produce clear and coherent writing in which the development, organization, and style are appropriate to task, purpose, and audience.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able to produce coherent writing in which the development, organization, and style are appropriate to task, purpose, and audience, but the writing lacks proper flow or clarity.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able to produce coherent writing in which the development, organization was appropriate, but the style was not appropriate to task, purpose, and audience.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20" w:line="240" w:lineRule="auto"/>
              <w:ind w:left="-15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202020"/>
                <w:sz w:val="16"/>
                <w:szCs w:val="16"/>
                <w:rtl w:val="0"/>
              </w:rPr>
              <w:t xml:space="preserve">Students were unable to produce coherent writing in which the development, organization, and the style were appropriate to the task, purpose, and audience.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