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contextualSpacing w:val="0"/>
      </w:pPr>
      <w:r w:rsidDel="00000000" w:rsidR="00000000" w:rsidRPr="00000000">
        <w:rPr>
          <w:b w:val="1"/>
          <w:rtl w:val="0"/>
        </w:rPr>
        <w:t xml:space="preserve">Group Work: Sharing Rankings and Developing Criteria</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b w:val="1"/>
          <w:i w:val="1"/>
          <w:rtl w:val="0"/>
        </w:rPr>
        <w:t xml:space="preserve">Directions:</w:t>
      </w:r>
      <w:r w:rsidDel="00000000" w:rsidR="00000000" w:rsidRPr="00000000">
        <w:rPr>
          <w:i w:val="1"/>
          <w:rtl w:val="0"/>
        </w:rPr>
        <w:t xml:space="preserve"> Share your individual ranking for the four stories and come to a consensus ranking.  Justify your ranking below.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tbl>
      <w:tblPr>
        <w:tblStyle w:val="Table1"/>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95"/>
        <w:gridCol w:w="3360"/>
        <w:gridCol w:w="3705"/>
        <w:tblGridChange w:id="0">
          <w:tblGrid>
            <w:gridCol w:w="2295"/>
            <w:gridCol w:w="3360"/>
            <w:gridCol w:w="3705"/>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Ranking </w:t>
            </w:r>
            <w:r w:rsidDel="00000000" w:rsidR="00000000" w:rsidRPr="00000000">
              <w:rPr>
                <w:i w:val="1"/>
                <w:rtl w:val="0"/>
              </w:rPr>
              <w:t xml:space="preserve">(1=highest, 4=lowest)</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Strengths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Weaknesses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 candidate: ____</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#2: candidate: ____</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#3: candidate: ____</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#4: candidate: ____</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b w:val="1"/>
          <w:rtl w:val="0"/>
        </w:rPr>
        <w:t xml:space="preserve">How should a news story be judged? </w:t>
      </w:r>
      <w:r w:rsidDel="00000000" w:rsidR="00000000" w:rsidRPr="00000000">
        <w:rPr>
          <w:rtl w:val="0"/>
        </w:rPr>
        <w:t xml:space="preserve">What makes a news story particularly effective? As a group, develop a list of criteria, or principles or standards by which something can be judged. These criteria should be specific enough that they could act as an evaluation blueprint to help others judge news stories.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b w:val="1"/>
          <w:rtl w:val="0"/>
        </w:rPr>
        <w:t xml:space="preserve">Your criteria:</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b w:val="1"/>
          <w:rtl w:val="0"/>
        </w:rPr>
        <w:t xml:space="preserve">A good news story should:</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t xml:space="preserve">1.</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t xml:space="preserve">2.</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t xml:space="preserve">3.</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t xml:space="preserve">4.</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t xml:space="preserve">5.</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