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Freedom of Information Law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i w:val="1"/>
          <w:sz w:val="20"/>
          <w:rtl w:val="0"/>
        </w:rPr>
        <w:t xml:space="preserve">703 807-1904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splc.org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Three main types of FOI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6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Open Records Laws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• </w:t>
      </w:r>
      <w:r w:rsidRPr="00000000" w:rsidR="00000000" w:rsidDel="00000000">
        <w:rPr>
          <w:i w:val="1"/>
          <w:rtl w:val="0"/>
        </w:rPr>
        <w:t xml:space="preserve">state open records laws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• </w:t>
      </w:r>
      <w:r w:rsidRPr="00000000" w:rsidR="00000000" w:rsidDel="00000000">
        <w:rPr>
          <w:i w:val="1"/>
          <w:rtl w:val="0"/>
        </w:rPr>
        <w:t xml:space="preserve">federal Freedom of Information Act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Open Meetings Laws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• </w:t>
      </w:r>
      <w:r w:rsidRPr="00000000" w:rsidR="00000000" w:rsidDel="00000000">
        <w:rPr>
          <w:i w:val="1"/>
          <w:rtl w:val="0"/>
        </w:rPr>
        <w:t xml:space="preserve">state open meetings laws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• </w:t>
      </w:r>
      <w:r w:rsidRPr="00000000" w:rsidR="00000000" w:rsidDel="00000000">
        <w:rPr>
          <w:i w:val="1"/>
          <w:rtl w:val="0"/>
        </w:rPr>
        <w:t xml:space="preserve">federal government in the Sunshine Act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”Pocket” FOI Laws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• </w:t>
      </w:r>
      <w:r w:rsidRPr="00000000" w:rsidR="00000000" w:rsidDel="00000000">
        <w:rPr>
          <w:i w:val="1"/>
          <w:rtl w:val="0"/>
        </w:rPr>
        <w:t xml:space="preserve">federal Clery Act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• </w:t>
      </w:r>
      <w:r w:rsidRPr="00000000" w:rsidR="00000000" w:rsidDel="00000000">
        <w:rPr>
          <w:i w:val="1"/>
          <w:rtl w:val="0"/>
        </w:rPr>
        <w:t xml:space="preserve">federal Student Right-to-Know Act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• </w:t>
      </w:r>
      <w:r w:rsidRPr="00000000" w:rsidR="00000000" w:rsidDel="00000000">
        <w:rPr>
          <w:i w:val="1"/>
          <w:rtl w:val="0"/>
        </w:rPr>
        <w:t xml:space="preserve">IRS Form 990 disclosure regulations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10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Only “public bodies” or “public agencies” are covered by traditional </w:t>
      </w:r>
      <w:r w:rsidRPr="00000000" w:rsidR="00000000" w:rsidDel="00000000">
        <w:rPr>
          <w:i w:val="1"/>
          <w:u w:val="single"/>
          <w:rtl w:val="0"/>
        </w:rPr>
        <w:t xml:space="preserve">open record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i w:val="1"/>
          <w:u w:val="single"/>
          <w:rtl w:val="0"/>
        </w:rPr>
        <w:t xml:space="preserve">open meeting</w:t>
      </w:r>
      <w:r w:rsidRPr="00000000" w:rsidR="00000000" w:rsidDel="00000000">
        <w:rPr>
          <w:rtl w:val="0"/>
        </w:rPr>
        <w:t xml:space="preserve"> laws.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br w:type="textWrapping"/>
        <w:t xml:space="preserve">11: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Provide two examples of a public entity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answers could include: federal government agencies, state government agencies and local government agencies.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Provide two examples of a private entity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answers could include: private schools, companies, private individuals, most nonprofit organizations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15: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Open Records Laws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General Law: A </w:t>
      </w:r>
      <w:r w:rsidRPr="00000000" w:rsidR="00000000" w:rsidDel="00000000">
        <w:rPr>
          <w:i w:val="1"/>
          <w:u w:val="single"/>
          <w:rtl w:val="0"/>
        </w:rPr>
        <w:t xml:space="preserve">public</w:t>
      </w:r>
      <w:r w:rsidRPr="00000000" w:rsidR="00000000" w:rsidDel="00000000">
        <w:rPr>
          <w:rtl w:val="0"/>
        </w:rPr>
        <w:t xml:space="preserve"> body must make its records available upon request unless the records are </w:t>
      </w:r>
      <w:r w:rsidRPr="00000000" w:rsidR="00000000" w:rsidDel="00000000">
        <w:rPr>
          <w:i w:val="1"/>
          <w:u w:val="single"/>
          <w:rtl w:val="0"/>
        </w:rPr>
        <w:t xml:space="preserve">explicity</w:t>
      </w:r>
      <w:r w:rsidRPr="00000000" w:rsidR="00000000" w:rsidDel="00000000">
        <w:rPr>
          <w:rtl w:val="0"/>
        </w:rPr>
        <w:t xml:space="preserve"> exempted by statute.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Common exemptions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u w:val="single"/>
          <w:rtl w:val="0"/>
        </w:rPr>
        <w:t xml:space="preserve">records involving an “ongoing criminal investigation”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Disclosure of police techniques; undercover agent identities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Information that could jeopardize </w:t>
      </w:r>
      <w:r w:rsidRPr="00000000" w:rsidR="00000000" w:rsidDel="00000000">
        <w:rPr>
          <w:i w:val="1"/>
          <w:u w:val="single"/>
          <w:rtl w:val="0"/>
        </w:rPr>
        <w:t xml:space="preserve">national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u w:val="single"/>
          <w:rtl w:val="0"/>
        </w:rPr>
        <w:t xml:space="preserve">security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17: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Some personal records (hiring/ firing)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Records such as pending real estate deals or ongoing or contemplated legal proceedings.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• Documents whose release would constitute an invasion of privacy (medical, adoption, </w:t>
      </w:r>
      <w:r w:rsidRPr="00000000" w:rsidR="00000000" w:rsidDel="00000000">
        <w:rPr>
          <w:i w:val="1"/>
          <w:u w:val="single"/>
          <w:rtl w:val="0"/>
        </w:rPr>
        <w:t xml:space="preserve">personal financial information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18: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• “</w:t>
      </w:r>
      <w:r w:rsidRPr="00000000" w:rsidR="00000000" w:rsidDel="00000000">
        <w:rPr>
          <w:i w:val="1"/>
          <w:u w:val="single"/>
          <w:rtl w:val="0"/>
        </w:rPr>
        <w:t xml:space="preserve">Education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u w:val="single"/>
          <w:rtl w:val="0"/>
        </w:rPr>
        <w:t xml:space="preserve">records</w:t>
      </w:r>
      <w:r w:rsidRPr="00000000" w:rsidR="00000000" w:rsidDel="00000000">
        <w:rPr>
          <w:rtl w:val="0"/>
        </w:rPr>
        <w:t xml:space="preserve">” kept by a school that identify specific students.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19-20: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FERPA (Family Educational Rights and Privacy Act)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Schools must supply educational records </w:t>
      </w:r>
      <w:r w:rsidRPr="00000000" w:rsidR="00000000" w:rsidDel="00000000">
        <w:rPr>
          <w:i w:val="1"/>
          <w:u w:val="single"/>
          <w:rtl w:val="0"/>
        </w:rPr>
        <w:t xml:space="preserve">upon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u w:val="single"/>
          <w:rtl w:val="0"/>
        </w:rPr>
        <w:t xml:space="preserve">request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FERPA does not </w:t>
      </w:r>
      <w:r w:rsidRPr="00000000" w:rsidR="00000000" w:rsidDel="00000000">
        <w:rPr>
          <w:i w:val="1"/>
          <w:u w:val="single"/>
          <w:rtl w:val="0"/>
        </w:rPr>
        <w:t xml:space="preserve">prohibit </w:t>
      </w:r>
      <w:r w:rsidRPr="00000000" w:rsidR="00000000" w:rsidDel="00000000">
        <w:rPr>
          <w:rtl w:val="0"/>
        </w:rPr>
        <w:t xml:space="preserve">prohibit student journalists from publishing or disclosing information about students.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22: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Requesting Records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Be </w:t>
      </w:r>
      <w:r w:rsidRPr="00000000" w:rsidR="00000000" w:rsidDel="00000000">
        <w:rPr>
          <w:i w:val="1"/>
          <w:u w:val="single"/>
          <w:rtl w:val="0"/>
        </w:rPr>
        <w:t xml:space="preserve">nice!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• Submit a </w:t>
      </w:r>
      <w:r w:rsidRPr="00000000" w:rsidR="00000000" w:rsidDel="00000000">
        <w:rPr>
          <w:i w:val="1"/>
          <w:u w:val="single"/>
          <w:rtl w:val="0"/>
        </w:rPr>
        <w:t xml:space="preserve">written request</w:t>
      </w:r>
      <w:r w:rsidRPr="00000000" w:rsidR="00000000" w:rsidDel="00000000">
        <w:rPr>
          <w:rtl w:val="0"/>
        </w:rPr>
        <w:t xml:space="preserve"> where required or when a “paper trail” is needed.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A sample FOI letter can be found at </w:t>
      </w:r>
      <w:r w:rsidRPr="00000000" w:rsidR="00000000" w:rsidDel="00000000">
        <w:rPr>
          <w:i w:val="1"/>
          <w:u w:val="single"/>
          <w:rtl w:val="0"/>
        </w:rPr>
        <w:t xml:space="preserve">splc.org/foiletter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25: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What can you do if your request is denied?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contact recordkeeper/cite law politely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administrative appeal sometimes available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judicial review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fines and/or attorney fees may be available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35: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Open Meetings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General Law: A public body must provide notice of all gathings and allow </w:t>
      </w:r>
      <w:r w:rsidRPr="00000000" w:rsidR="00000000" w:rsidDel="00000000">
        <w:rPr>
          <w:i w:val="1"/>
          <w:u w:val="single"/>
          <w:rtl w:val="0"/>
        </w:rPr>
        <w:t xml:space="preserve">public attendance</w:t>
      </w:r>
      <w:r w:rsidRPr="00000000" w:rsidR="00000000" w:rsidDel="00000000">
        <w:rPr>
          <w:u w:val="single"/>
          <w:rtl w:val="0"/>
        </w:rPr>
        <w:t xml:space="preserve"> </w:t>
      </w:r>
      <w:r w:rsidRPr="00000000" w:rsidR="00000000" w:rsidDel="00000000">
        <w:rPr>
          <w:rtl w:val="0"/>
        </w:rPr>
        <w:t xml:space="preserve">unless meeting is explicitly exempted by statute.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36: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Name three common exemptions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answers could include: discussion of personnel matters, discussion of individual students, matters involving highly personal information, discussion of ongoing or contemplated legal proceedings, meetings to discuss the acquisition of real estate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37: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What do you do if you get kicked out of a public meeting?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have a copy of the open meeting law available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be courteous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ask your objection to the meeting being closed is reflected in the minutes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i w:val="1"/>
          <w:rtl w:val="0"/>
        </w:rPr>
        <w:t xml:space="preserve">write down what happened and with whom you spoke -- and contact SPLC.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“Pocket” FOI Laws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42: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What does the “Clery Act” mandate the reporting of?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campus crime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44: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What does “Student Right-to-Know-Act” require?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access to student graduation rates, athletic program information, accreditation reports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Student Worksheet Answers.docx</dc:title>
</cp:coreProperties>
</file>