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Basic Presentation </w:t>
      </w:r>
      <w:r w:rsidDel="00000000" w:rsidR="00000000" w:rsidRPr="00000000">
        <w:rPr>
          <w:b w:val="1"/>
          <w:sz w:val="24"/>
          <w:szCs w:val="24"/>
          <w:rtl w:val="0"/>
        </w:rPr>
        <w:t xml:space="preserve">Rubric</w:t>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Exemplary (5)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Proficient (3)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Below standard (1)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Did not demonstrate (0)</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Presentation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Student concisely states points in direct, respectful manner. Points are well-reasoned and logical.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Student states points clearly, but presentation lacks appropriate tone (i.e. too casual, too forceful).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Student’s points are unclear or indiscernible.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Student did not complete the presentation portion of the assignment.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Written paper</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(Clarity, structure, grammar &amp; punctuation)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Paper is free from grammatical errors and uses correct punctuation. The position is clear and builds logically from a statement of opinion, to supporting references, to a conclusion.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Paper has fewer than three errors in grammar or punctuation. The point is clear but lacks transitions or a proper conclusion.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Paper has three or more errors in grammar or punctuation. Facts are referenced without transitions.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Student did not complete the written portion of the assignment.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Interviews and citations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At least three references are cited. References are clear and accurately presented. References directly support argument.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Only two references are cited. References do not directly relate to argument.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Only one reference is cited. Reference lacks any apparent connection to the argument, or connections are poorly drawn.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Student does not cite any references or include an citations.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Total points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___/ points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Advanced rubric</w:t>
      </w:r>
    </w:p>
    <w:tbl>
      <w:tblPr>
        <w:tblStyle w:val="Table2"/>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Exemplary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Proficient</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Below standard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Did not demonstrate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Organization</w:t>
            </w:r>
          </w:p>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(20 points)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There is no clear organization to the presentation at all.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Topic knowledge</w:t>
            </w:r>
          </w:p>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(20 points)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Student clearly does not know much, if anything, about the topic.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Audience adaptation</w:t>
            </w:r>
          </w:p>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(20 points)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student doesn’t attempt to engage the audience.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Language use/</w:t>
            </w:r>
          </w:p>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verbal effectiveness</w:t>
            </w:r>
          </w:p>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(20 points)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Language is familiar to the audience, appropriate for the setting, and free of bias; the presenter may “code-switch”  (use a different language form) when appropriate. Language choices are vivid and precise.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Language choices may be limited, peppered with slang or jargon, too complex, or too dull. Language is questionable or inappropriate for a particular audience, occasion, or setting. Some biased or unclear language may be used.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student uses no effective language whatsoever.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Delivery</w:t>
            </w:r>
          </w:p>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(nonverbal effectiveness)</w:t>
            </w:r>
          </w:p>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(20 points)</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00" w:firstLine="0"/>
              <w:contextualSpacing w:val="0"/>
            </w:pPr>
            <w:r w:rsidDel="00000000" w:rsidR="00000000" w:rsidRPr="00000000">
              <w:rPr>
                <w:sz w:val="24"/>
                <w:szCs w:val="24"/>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student fails to deliver a presentation.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___/ points</w:t>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