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contextualSpacing w:val="0"/>
      </w:pPr>
      <w:r w:rsidRPr="00000000" w:rsidR="00000000" w:rsidDel="00000000">
        <w:rPr>
          <w:b w:val="1"/>
          <w:sz w:val="28"/>
          <w:rtl w:val="0"/>
        </w:rPr>
        <w:t xml:space="preserve">Getting to Know Databases</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sz w:val="20"/>
          <w:rtl w:val="0"/>
        </w:rPr>
        <w:t xml:space="preserve">Use the table below to take notes about databases offered at your school and public libraries and on the Internet for journalists. Choose five school library databases and explore the three databases for professional journalists (URLs provided). </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8"/>
          <w:rtl w:val="0"/>
        </w:rPr>
        <w:t xml:space="preserve">Library Databases</w:t>
      </w:r>
    </w:p>
    <w:p w:rsidP="00000000" w:rsidRPr="00000000" w:rsidR="00000000" w:rsidDel="00000000" w:rsidRDefault="00000000">
      <w:pPr>
        <w:widowControl w:val="0"/>
        <w:contextualSpacing w:val="0"/>
      </w:pPr>
      <w:r w:rsidRPr="00000000" w:rsidR="00000000" w:rsidDel="00000000">
        <w:rPr>
          <w:rtl w:val="0"/>
        </w:rPr>
      </w:r>
    </w:p>
    <w:tbl>
      <w:tblPr>
        <w:tblStyle w:val="Table1"/>
        <w:bidiVisual w:val="0"/>
        <w:tblW w:w="9360.0" w:type="dxa"/>
        <w:jc w:val="left"/>
        <w:tblInd w:w="-9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400"/>
      </w:tblPr>
      <w:tblGrid>
        <w:gridCol w:w="3060"/>
        <w:gridCol w:w="3610"/>
        <w:gridCol w:w="2690"/>
        <w:tblGridChange w:id="0">
          <w:tblGrid>
            <w:gridCol w:w="3060"/>
            <w:gridCol w:w="3610"/>
            <w:gridCol w:w="269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Name of Database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bookmarkStart w:id="0" w:colFirst="0" w:name="h.gjdgxs" w:colLast="0"/>
            <w:bookmarkEnd w:id="0"/>
            <w:r w:rsidRPr="00000000" w:rsidR="00000000" w:rsidDel="00000000">
              <w:rPr>
                <w:b w:val="1"/>
                <w:rtl w:val="0"/>
              </w:rPr>
              <w:t xml:space="preserve">Description </w:t>
            </w:r>
          </w:p>
        </w:tc>
        <w:tc>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 Example of information   of use to reporters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2</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3</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4</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5</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p w:rsidP="00000000" w:rsidRPr="00000000" w:rsidR="00000000" w:rsidDel="00000000" w:rsidRDefault="00000000">
            <w:pPr>
              <w:widowControl w:val="0"/>
              <w:spacing w:lineRule="auto" w:line="240"/>
              <w:contextualSpacing w:val="0"/>
            </w:pPr>
            <w:r w:rsidRPr="00000000" w:rsidR="00000000" w:rsidDel="00000000">
              <w:rPr>
                <w:rtl w:val="0"/>
              </w:rPr>
            </w:r>
          </w:p>
        </w:tc>
      </w:tr>
    </w:tbl>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8"/>
          <w:rtl w:val="0"/>
        </w:rPr>
        <w:t xml:space="preserve">Databases for Journalists</w:t>
      </w:r>
    </w:p>
    <w:p w:rsidP="00000000" w:rsidRPr="00000000" w:rsidR="00000000" w:rsidDel="00000000" w:rsidRDefault="00000000">
      <w:pPr>
        <w:widowControl w:val="0"/>
        <w:contextualSpacing w:val="0"/>
      </w:pPr>
      <w:r w:rsidRPr="00000000" w:rsidR="00000000" w:rsidDel="00000000">
        <w:rPr>
          <w:rtl w:val="0"/>
        </w:rPr>
      </w:r>
    </w:p>
    <w:tbl>
      <w:tblPr>
        <w:tblStyle w:val="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400"/>
      </w:tblPr>
      <w:tblGrid>
        <w:gridCol w:w="3060"/>
        <w:gridCol w:w="3600"/>
        <w:gridCol w:w="2700"/>
        <w:tblGridChange w:id="0">
          <w:tblGrid>
            <w:gridCol w:w="3060"/>
            <w:gridCol w:w="3600"/>
            <w:gridCol w:w="270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Name of Database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Description</w:t>
            </w:r>
          </w:p>
        </w:tc>
        <w:tc>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Example of information of use to reporters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 JournalistsResource.org</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2 JournalistsToolbox.org</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3 IRE.org</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p w:rsidP="00000000" w:rsidRPr="00000000" w:rsidR="00000000" w:rsidDel="00000000" w:rsidRDefault="00000000">
            <w:pPr>
              <w:widowControl w:val="0"/>
              <w:spacing w:lineRule="auto" w:line="240"/>
              <w:contextualSpacing w:val="0"/>
            </w:pPr>
            <w:r w:rsidRPr="00000000" w:rsidR="00000000" w:rsidDel="00000000">
              <w:rPr>
                <w:rtl w:val="0"/>
              </w:rPr>
            </w:r>
          </w:p>
        </w:tc>
      </w:tr>
    </w:tbl>
    <w:p w:rsidP="00000000" w:rsidRPr="00000000" w:rsidR="00000000" w:rsidDel="00000000" w:rsidRDefault="00000000">
      <w:pPr>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 w:styleId="Table1" w:type="table">
    <w:basedOn w:val="TableNormal"/>
    <w:tblPr>
      <w:tblStyleRowBandSize w:val="1"/>
      <w:tblStyleColBandSize w:val="1"/>
      <w:tblCellMar>
        <w:top w:w="0.0" w:type="dxa"/>
        <w:left w:w="29.0" w:type="dxa"/>
        <w:bottom w:w="0.0" w:type="dxa"/>
        <w:right w:w="29.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29.0" w:type="dxa"/>
        <w:bottom w:w="0.0" w:type="dxa"/>
        <w:right w:w="29.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3b.3-locating-databases.docx.docx</dc:title>
</cp:coreProperties>
</file>