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Scavenger Hunt, Interview Practice and Observation Rubric</w:t>
      </w:r>
      <w:r w:rsidRPr="00000000" w:rsidR="00000000" w:rsidDel="00000000">
        <w:rPr>
          <w:rtl w:val="0"/>
        </w:rPr>
      </w:r>
    </w:p>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rtl w:val="0"/>
        </w:rPr>
      </w:r>
    </w:p>
    <w:tbl>
      <w:tblPr>
        <w:tblStyle w:val="Table1"/>
        <w:bidiVisual w:val="0"/>
        <w:tblW w:w="131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458"/>
        <w:gridCol w:w="3060"/>
        <w:gridCol w:w="3150"/>
        <w:gridCol w:w="3157"/>
        <w:gridCol w:w="1440"/>
        <w:gridCol w:w="911"/>
        <w:tblGridChange w:id="0">
          <w:tblGrid>
            <w:gridCol w:w="1458"/>
            <w:gridCol w:w="3060"/>
            <w:gridCol w:w="3150"/>
            <w:gridCol w:w="3157"/>
            <w:gridCol w:w="1440"/>
            <w:gridCol w:w="911"/>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Exemplary</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Proficient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Below standard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Did not demonstrate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Total points</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Scavenger hunt completion</w:t>
            </w:r>
          </w:p>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(group grade) </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Group completed all questions correctly and members conducted themselves professionally while collecting information. </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Group completed most of the questions. Their conduct was appropriate.</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Several questions were left unanswered or answered incorrectly.  The group’s conduct was inappropriate at times. </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The group was disqualified.</w:t>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Group dynamics (group grade)</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The group worked well together and supported each other as a team.</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The group had only minor issues in group dynamics.</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The group did not work well as a team.</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Complaints as to conduct were made about this group.</w:t>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Interview questions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Questions are open-ended, creative and enticing to elicit strong quotes from the subject. Through the questions, the personality of the subject is revealed.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Questions help to reveal the personality of the subject, but one or more question is close-ended.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No open-ended or follow-up questions. </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No questions written.</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Quotes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Quotes are lively and interesting.</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Quotes are publishable but could be more interesting.</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Quotes are only one or two words, or the student did not collect three quotes.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Interview was not conducted.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Observation sentences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All five sentences show originality and clearly reflect the reporter’s own observations. Sensory detail and key interactions are recorded.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Fewer than five sentences are provided. Some sensory detail is reported, but key interactions and telling details are missing.</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It is not clear from the sentences provided that the student actually observed the event. Sensory and telling details are absent.</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Observation was not completed.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Observation leads</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Summary lead clearly summarizes all 5Ws of the event, starting with the most important detail. The second lead uses sensory and telling detail from observation to draw readers to the story. </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sz w:val="20"/>
                <w:rtl w:val="0"/>
              </w:rPr>
              <w:t xml:space="preserve">Summary lead summarizes most of the 5Ws but does not start with the most important detail or leaves out some information. The second lead uses some detail from observation. </w:t>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color w:val="3f3f3f"/>
                <w:sz w:val="20"/>
                <w:rtl w:val="0"/>
              </w:rPr>
              <w:t xml:space="preserve">Summary lead does not summarize the 5Ws. The second lead does not use details from observation. Leads confuse the reader or do not tell any part of the story.</w:t>
            </w:r>
          </w:p>
        </w:tc>
        <w:tc>
          <w:tcPr/>
          <w:p w:rsidP="00000000" w:rsidRPr="00000000" w:rsidR="00000000" w:rsidDel="00000000" w:rsidRDefault="00000000">
            <w:pPr>
              <w:contextualSpacing w:val="0"/>
            </w:pPr>
            <w:bookmarkStart w:id="1" w:colFirst="0" w:name="h.30j0zll" w:colLast="0"/>
            <w:bookmarkEnd w:id="1"/>
            <w:r w:rsidRPr="00000000" w:rsidR="00000000" w:rsidDel="00000000">
              <w:rPr>
                <w:rFonts w:cs="Helvetica Neue" w:hAnsi="Helvetica Neue" w:eastAsia="Helvetica Neue" w:ascii="Helvetica Neue"/>
                <w:sz w:val="20"/>
                <w:rtl w:val="0"/>
              </w:rPr>
              <w:t xml:space="preserve">Leads were not written.</w:t>
            </w:r>
          </w:p>
        </w:tc>
        <w:tc>
          <w:tcPr/>
          <w:p w:rsidP="00000000" w:rsidRPr="00000000" w:rsidR="00000000" w:rsidDel="00000000" w:rsidRDefault="00000000">
            <w:pPr>
              <w:contextualSpacing w:val="0"/>
            </w:pPr>
            <w:r w:rsidRPr="00000000" w:rsidR="00000000" w:rsidDel="00000000">
              <w:rPr>
                <w:rtl w:val="0"/>
              </w:rPr>
            </w:r>
          </w:p>
        </w:tc>
      </w:tr>
      <w:tr>
        <w:trPr>
          <w:trHeight w:val="880" w:hRule="atLeast"/>
        </w:trPr>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Total points</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sz w:val="20"/>
                <w:rtl w:val="0"/>
              </w:rPr>
              <w:t xml:space="preserve">___/ points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Helvetica Neue"/>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Calibri" w:hAnsi="Calibri" w:eastAsia="Calibri" w:ascii="Calibri"/>
      <w:b w:val="1"/>
      <w:color w:val="000000"/>
      <w:sz w:val="48"/>
    </w:rPr>
  </w:style>
  <w:style w:styleId="Heading2" w:type="paragraph">
    <w:name w:val="heading 2"/>
    <w:basedOn w:val="Normal"/>
    <w:next w:val="Normal"/>
    <w:pPr>
      <w:keepNext w:val="1"/>
      <w:keepLines w:val="1"/>
      <w:spacing w:lineRule="auto" w:after="80" w:line="276" w:before="360"/>
    </w:pPr>
    <w:rPr>
      <w:rFonts w:cs="Calibri" w:hAnsi="Calibri" w:eastAsia="Calibri" w:ascii="Calibri"/>
      <w:b w:val="1"/>
      <w:color w:val="000000"/>
      <w:sz w:val="36"/>
    </w:rPr>
  </w:style>
  <w:style w:styleId="Heading3" w:type="paragraph">
    <w:name w:val="heading 3"/>
    <w:basedOn w:val="Normal"/>
    <w:next w:val="Normal"/>
    <w:pPr>
      <w:keepNext w:val="1"/>
      <w:keepLines w:val="1"/>
      <w:spacing w:lineRule="auto" w:after="80" w:line="276" w:before="280"/>
    </w:pPr>
    <w:rPr>
      <w:rFonts w:cs="Calibri" w:hAnsi="Calibri" w:eastAsia="Calibri" w:ascii="Calibri"/>
      <w:b w:val="1"/>
      <w:color w:val="000000"/>
      <w:sz w:val="28"/>
    </w:rPr>
  </w:style>
  <w:style w:styleId="Heading4" w:type="paragraph">
    <w:name w:val="heading 4"/>
    <w:basedOn w:val="Normal"/>
    <w:next w:val="Normal"/>
    <w:pPr>
      <w:keepNext w:val="1"/>
      <w:keepLines w:val="1"/>
      <w:spacing w:lineRule="auto" w:after="40" w:line="276" w:before="240"/>
    </w:pPr>
    <w:rPr>
      <w:rFonts w:cs="Calibri" w:hAnsi="Calibri" w:eastAsia="Calibri" w:ascii="Calibri"/>
      <w:b w:val="1"/>
      <w:color w:val="000000"/>
      <w:sz w:val="24"/>
    </w:rPr>
  </w:style>
  <w:style w:styleId="Heading5" w:type="paragraph">
    <w:name w:val="heading 5"/>
    <w:basedOn w:val="Normal"/>
    <w:next w:val="Normal"/>
    <w:pPr>
      <w:keepNext w:val="1"/>
      <w:keepLines w:val="1"/>
      <w:spacing w:lineRule="auto" w:after="40" w:line="276" w:before="220"/>
    </w:pPr>
    <w:rPr>
      <w:rFonts w:cs="Calibri" w:hAnsi="Calibri" w:eastAsia="Calibri" w:ascii="Calibri"/>
      <w:b w:val="1"/>
      <w:color w:val="000000"/>
      <w:sz w:val="22"/>
    </w:rPr>
  </w:style>
  <w:style w:styleId="Heading6" w:type="paragraph">
    <w:name w:val="heading 6"/>
    <w:basedOn w:val="Normal"/>
    <w:next w:val="Normal"/>
    <w:pPr>
      <w:keepNext w:val="1"/>
      <w:keepLines w:val="1"/>
      <w:spacing w:lineRule="auto" w:after="40" w:line="276" w:before="200"/>
    </w:pPr>
    <w:rPr>
      <w:rFonts w:cs="Calibri" w:hAnsi="Calibri" w:eastAsia="Calibri" w:ascii="Calibri"/>
      <w:b w:val="1"/>
      <w:color w:val="000000"/>
      <w:sz w:val="20"/>
    </w:rPr>
  </w:style>
  <w:style w:styleId="Title" w:type="paragraph">
    <w:name w:val="Title"/>
    <w:basedOn w:val="Normal"/>
    <w:next w:val="Normal"/>
    <w:pPr>
      <w:keepNext w:val="1"/>
      <w:keepLines w:val="1"/>
      <w:spacing w:lineRule="auto" w:after="120" w:line="276" w:before="480"/>
    </w:pPr>
    <w:rPr>
      <w:rFonts w:cs="Calibri" w:hAnsi="Calibri" w:eastAsia="Calibri" w:ascii="Calibri"/>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ScavengerHuntPlusRubric.docx</dc:title>
</cp:coreProperties>
</file>