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Questionable Tweet Provokes Call to Action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610"/>
        <w:gridCol w:w="675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Name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Editorial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Claim the editorial is making (main opinion)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Goal of this editorial (what you want to happen)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People who may be affected by editorial (in small and large ways)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How the editorial will affect the way people see the newspaper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Ways to minimize harm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Ways to do the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most good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Your editorial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610"/>
        <w:gridCol w:w="675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Name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Editorial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Claim the editorial is making (main opinion)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Goal of this editorial (what you want to happen)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People who may be affected by editorial (in small and large ways)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How the editorial will affect the way people see the newspaper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Ways to minimize harm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Ways to do the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most good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Considerations.docx</dc:title>
</cp:coreProperties>
</file>