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Fact-checking List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According to professional journalists, a fact-checking list is an important tool because just reading over a story several times isn’t a reliable way to find errors. Attention to accuracy starts with the reporter and continues until the article is published online, in print or on air.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 the reporter: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sources to spell name and title; then verify what you wrote.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Transcribe notes as soon as you leave the interview.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for (and check) source when someone cites numbers.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“How do you know that?”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yourself “What don’t I know?” Then try to find out.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documentation elsewhere.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reliable sources to verify claims.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 the editor: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Numbers  (addresses, ages, distances, money)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Phone numbers (call them)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math (calculate again and have someone else do it, too)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Names (check in reporter notes and directory)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Titles (people’s IDs, books etc.)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Locations (logical? accurate? Check a map)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attribution (insert link if from the web)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URLs (do they still work?)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Spelling &amp; Grammar (especially for quotes)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Spellchecker Errors (their/there, it’s its)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Assumptions? (If you can’t verify, remove.)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Doubts? Recheck with the reporters or original source.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Tough topic you’re not sure you understand? (Find an expert who does and read it to him/her.)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Adapted from “</w:t>
      </w:r>
      <w:hyperlink r:id="rId5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Why Journalism Professors Should Teach Checklists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,” by Steve Buttry, MediaShift, Feb. 2, 2015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ediashift.org/2015/02/journalism-professors-should-teach-accuracy-checklists/" TargetMode="External"/></Relationships>
</file>