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b w:val="1"/>
          <w:rtl w:val="0"/>
        </w:rPr>
        <w:t xml:space="preserve">Name: _____________________________________</w:t>
        <w:tab/>
        <w:t xml:space="preserve">Date: 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MVHS Article Discussion Prep</w:t>
      </w: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Directions: Read the attached article and spend some time reflecting on Sarah’s argument, your reactions to it, and how you believe others might react to it. Complete the following activities before coming to class.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 As you read the article, mark it up according to the following system:</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Underline Sarah’s main points about the football team</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Put an exclamation point (!) next to anything that surprises you</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Put an X next to anything you believe might make someone angry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2. Describe your initial reaction to and thoughts about the article.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3. Do you think this article would cause a disturbance if printed as part of a high school: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a. Newspaper?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b. Yearbook?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c. News website?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4. Put yourself in the place of each of the following individuals. How might you react to reading this article online for the first time?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a. Football player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b. Band student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c. Basketball player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d. Parents of football students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e. Parents of band students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f. Principal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g. Teachers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h. Football coach</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i. Band/choir teacher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j. Other journalism students</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MVHS Article Prep.docx</dc:title>
</cp:coreProperties>
</file>