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b w:val="1"/>
          <w:rtl w:val="0"/>
        </w:rPr>
        <w:t xml:space="preserve">Teacher Instructions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 Distribute materials for Simulation 2, which requires students to write posts for various social media, based on advance written instructions. This is suitable for students who might have processing difficulties in time-pressured situations or who the teacher believes are not ready for a time-pressured simulation. Students may work in small teams or on their own, depending on their readiness and teacher goals.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2. Explain the simulation instructions, going through each step in the process and being sure to review the rubric requirements for a good social media post with students before starting. Here is an example script: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rtl w:val="0"/>
        </w:rPr>
        <w:t xml:space="preserve">“You are going to participate in a simulation of a breaking news event during class today. This will require you to read updates about an event and write the type of social media post that the instructions suggest for you to write after each development in the story. You should keep in mind our discussions about effective and ineffective social media posts, as well as the notes we took on writing properly for social media. Each post you write will be graded based on the social media rubric we have used together. You have the rest of the class period to work on this, while I walk around and provide help, and you may work with (X) number of students in a group (or by themselves). Are there any questions?”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3. Distribute Simulation 2 — Student and be available to help students as they navigate through the simulation during the class period.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4. Given time, ask students to trade posts with a partner/another group and to critique the list of posts against the rubric, marking one that is their favorite and one that needs the most work. Students should then turn in their work for evaluation.</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2 — Teacher.docx</dc:title>
</cp:coreProperties>
</file>