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120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Exit Ticket:</w:t>
        <w:tab/>
        <w:t xml:space="preserve">Look Fors / Ask Fors</w:t>
        <w:tab/>
        <w:tab/>
        <w:t xml:space="preserve">Student Name 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What should you look for as you are interviewing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What questions will be the most important to ask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Who else might you need to talk with about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Will a single interview in the classroom be enough? Why or Why not? Where else might you want to interview him/her?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Exit Ticket:</w:t>
        <w:tab/>
        <w:t xml:space="preserve">Look Fors / Ask Fors</w:t>
        <w:tab/>
        <w:tab/>
        <w:t xml:space="preserve">Student Name ____________________________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What should you look for as you are interviewing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What questions will be the most important to ask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3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4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Who else might you need to talk with about this person?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1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2</w:t>
      </w:r>
    </w:p>
    <w:p w:rsidP="00000000" w:rsidRPr="00000000" w:rsidR="00000000" w:rsidDel="00000000" w:rsidRDefault="00000000">
      <w:pPr>
        <w:spacing w:lineRule="auto" w:after="12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Will a single interview in the classroom be enough? Why or Why not? Where else might you want to interview him/her?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aramond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14 - Look Fors Ask Fors PDF.docx</dc:title>
</cp:coreProperties>
</file>