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Group names: _____________________________________________ Hour:__________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Anonymous sources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9 points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328"/>
        <w:gridCol w:w="1997"/>
        <w:gridCol w:w="1967"/>
        <w:gridCol w:w="2012"/>
        <w:gridCol w:w="2056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0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Crafting arguments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have crafted arguments for all the commentaries provided. Arguments are strong and in their own words.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have crafted arguments for all the commentaries provided. Arguments are in their own words.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have crafted arguments for most the commentaries provided. Arguments are strong and in their own words.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have crafted arguments for most the commentaries provided. Arguments are weak and/or not in the students’ own words.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Content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cite information learned through class discussion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cite some aspects of information learned through class discussion, but major points are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cite some information learned through class discussion, but major points are omitted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cite little to no information learned through class discussion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Class time 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Class time used productively at least 90 percent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Class time used productively at least 75 percent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Class time used productively at least 50 percent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Class time used productively at least 30 percent of the time.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Anonymous Sources Rubric.docx</dc:title>
</cp:coreProperties>
</file>