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t xml:space="preserve">Student notes for </w:t>
      </w:r>
      <w:r w:rsidRPr="00000000" w:rsidR="00000000" w:rsidDel="00000000">
        <w:rPr>
          <w:rtl w:val="0"/>
        </w:rPr>
        <w:t xml:space="preserve">Student Press Law Center’s Media Law</w:t>
      </w:r>
      <w:r w:rsidRPr="00000000" w:rsidR="00000000" w:rsidDel="00000000">
        <w:rPr>
          <w:rtl w:val="0"/>
        </w:rPr>
        <w:t xml:space="preserve"> Presentation: Press Freedom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SPLC’s phone number: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SPLC’s website: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5</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Some examples of direct censorship 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Some examples of indirect censorship 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6</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Define each of the roles of a free press: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Creating an informed citizenry (marketplace of ideas)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Watchdog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“Conscience of society”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8</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Five freedoms guaranteed by the First Amendment 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True or False: Public and private schools both have the same First Amendment legal protections.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Why or why not?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10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Private school student media may be protected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13</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Public school officials do not have _______________________ ___________________ to censor.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Slide 14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“Publisher myth”: Take a moment and outline the one applicable to you (public or private).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17</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Tinker V Des Moines (1969) case is cited in almost all legal opinions involving student free speech rights. This case established that students and teachers do not “shed their constitutional rights to freedom of _____________ or ___________ at the schoolhouse gate.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18</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Tinker standard established: Speech that invades the rights of others and speech that creates a material and ___________________ _____________________ of normal activities are exceptions to this.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Other unprotected speech areas 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Libel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Invasion of Privacy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Copyright Infringement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“Fighting Words”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Speech that creates a clear and present danger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Speech that presents a clear and immediate threat to national security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Obscenity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 example of a “Material and Substantial Disruption” 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23:</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case significantly reduces the level of First Amendment protection: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26/27</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the Hazelwood case, the Court said the school officials could demonstrate a reasonable_____________________ ____________________ for their actions.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Three examples given of a reasonable educational justification include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31</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that said, Hazelwood’s reach is not unlimited. It applies only to ________________________________-________________________ speech.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does not apply to “_______________ _________________” student media. This is established based on who is making the 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33</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Administrators may not censor just because they ____________ with the viewpoint of an article.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Dean v Utica Community Schools (2004)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case leaves no ________ that high school journalists retain First Amendment protection.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38</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Even if the publication is not a limited ______________ _____________, censorship was “unreasonable” under Hazelwood.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Five factors that established the students and not school officials were responsible for content include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Written policy statements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Curricular/extracurricular nature of student media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List three reasons censorship was “unreasonable” under Hazelwood: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43</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Some states have anti-______________ laws and regulations. Name three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sample policies, see 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Seven ways to fight censorship include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Practice sound journalism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 your homework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Use the court of public opinion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Consider your le</w:t>
      </w:r>
      <w:r w:rsidRPr="00000000" w:rsidR="00000000" w:rsidDel="00000000">
        <w:rPr>
          <w:rtl w:val="0"/>
        </w:rPr>
        <w:t xml:space="preserve">gal optio</w:t>
      </w:r>
      <w:r w:rsidRPr="00000000" w:rsidR="00000000" w:rsidDel="00000000">
        <w:rPr>
          <w:rtl w:val="0"/>
        </w:rPr>
        <w:t xml:space="preserve">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10-28T21:42:42Z" w:author="Sarah Nichol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Talk to me — not positive what you're describing but I think I know how to do that.</w:t>
      </w:r>
    </w:p>
  </w:comment>
  <w:comment w:id="1" w:date="2013-11-02T14:10:00Z" w:author="Lori Keekl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uploaded the SPLC slideshows. I figure we can design this after all that is set. The content is the harder part, right?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 Press Freedom Student Worksheet.docx</dc:title>
</cp:coreProperties>
</file>