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Ethical guidelines and procedures r</w:t>
      </w:r>
      <w:r w:rsidDel="00000000" w:rsidR="00000000" w:rsidRPr="00000000">
        <w:rPr>
          <w:b w:val="1"/>
          <w:sz w:val="24"/>
          <w:szCs w:val="24"/>
          <w:rtl w:val="0"/>
        </w:rPr>
        <w:t xml:space="preserve">ubric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 (5)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 (4-3)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 (2, 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 (0)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of the Foundations document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Evidence found that students have used the resource — and questions provided there — to address some of the problems/issues with the guideline or procedure.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 evidence found that students have used the resource — and questions provided there — to address some of the problems/issues with the guideline or procedure.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Little evidence found that students have used the resource — and questions provided there — to address some of the problems/issues with the guideline or procedure.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evidence found that students have used the resource — and questions provided there — to address some of the problems/issues with the guideline or procedure.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Clarity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Wording is easy to understand and no red flag phrases are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Wording is easy to understand but a few red flag phrases are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Wording is easy to understand but many red flag phrases are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Wording is neither easy to understand nor have students avoided red flag phrases.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 choice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 choice is specific and 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 choice is specific but not 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 choice is not specific but overall concepts are 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 choice is neither specific nor 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Decision making power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make final decision.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Administrators or teachers given power to make final decision.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Feedback to others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provided insightful feedback to the other groups.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provided some insightful feedback to the other groups.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provided little feedback to the other groups.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provided no feedback to the other groups.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 ethic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use class and computer time effectively.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often use class and computer time effectively.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sometimes use class and computer time effectively.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rarely use class and computer time effectively.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30 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