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Simple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 portion of group 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Research</w:t>
            </w:r>
          </w:p>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one or fewer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2-3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4-5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Writing</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Banquet plan is written informally and does not make much sense for our staff.  Writing is hard to understand and errors exist in grammar/syntax</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Banquet plan is suited to our staff but grammar/syntax errors are evident.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Banquet plan is strong fit for our staff and writing is clear and easy to understand while being free from errors.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Staff banquet presentation.docx</dc:title>
</cp:coreProperties>
</file>