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Simplistic Presentation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Agenda Creation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Clarity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agenda is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agenda is clearly stated but some items aren’t specific</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agenda and they have a purpose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Agenda has three or more errors in grammar or punctuation. The agenda doesn’t follow a logical order.</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Agenda has fewer than three errors in grammar or punctuation. The order is clear but lacks logic.</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Agenda is free from grammatical errors and uses correct punctuation. The agenda is ordered logically.</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Expectations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Board members have no idea what to expect based on the agenda.</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Board members know what is meant by some, but not all, agenda items.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Board members know exactly what to expect from every agenda item</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Rubrics: Editorial meeting agenda.docx</dc:title>
</cp:coreProperties>
</file>