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bookmarkStart w:colFirst="0" w:colLast="0" w:name="h.rtge3vkcd1d0" w:id="0"/>
      <w:bookmarkEnd w:id="0"/>
      <w:r w:rsidDel="00000000" w:rsidR="00000000" w:rsidRPr="00000000">
        <w:rPr>
          <w:b w:val="1"/>
          <w:sz w:val="24"/>
          <w:szCs w:val="24"/>
          <w:rtl w:val="0"/>
        </w:rPr>
        <w:t xml:space="preserve">Sports Reporting Rubric</w:t>
      </w:r>
    </w:p>
    <w:p w:rsidR="00000000" w:rsidDel="00000000" w:rsidP="00000000" w:rsidRDefault="00000000" w:rsidRPr="00000000">
      <w:pPr>
        <w:spacing w:line="240" w:lineRule="auto"/>
        <w:contextualSpacing w:val="0"/>
      </w:pPr>
      <w:bookmarkStart w:colFirst="0" w:colLast="0" w:name="h.gjdgxs" w:id="1"/>
      <w:bookmarkEnd w:id="1"/>
      <w:r w:rsidDel="00000000" w:rsidR="00000000" w:rsidRPr="00000000">
        <w:rPr>
          <w:rtl w:val="0"/>
        </w:rPr>
      </w:r>
    </w:p>
    <w:tbl>
      <w:tblPr>
        <w:tblStyle w:val="Table1"/>
        <w:bidi w:val="0"/>
        <w:tblW w:w="12928.999999999998"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9"/>
        <w:gridCol w:w="3770"/>
        <w:gridCol w:w="2513"/>
        <w:gridCol w:w="2423"/>
        <w:gridCol w:w="1616"/>
        <w:gridCol w:w="978"/>
        <w:tblGridChange w:id="0">
          <w:tblGrid>
            <w:gridCol w:w="1629"/>
            <w:gridCol w:w="3770"/>
            <w:gridCol w:w="2513"/>
            <w:gridCol w:w="2423"/>
            <w:gridCol w:w="1616"/>
            <w:gridCol w:w="978"/>
          </w:tblGrid>
        </w:tblGridChange>
      </w:tblGrid>
      <w:tr>
        <w:trPr>
          <w:trHeight w:val="46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Exemplary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Proficient</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Below standard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Did not demonstrate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Total points</w:t>
            </w:r>
          </w:p>
        </w:tc>
      </w:tr>
      <w:tr>
        <w:trPr>
          <w:trHeight w:val="13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Research</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Thorough research provides the reporter with knowledge of the team and upcoming expectations. Collected data is relevant. For advances and game reports, research is collected for  both the opponent and the home team. Collaboration is attempted.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Research provides the reporter with knowledge of the team and upcoming expectations. Collected data is relevant.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Research does not provide the reporter with knowledge of the team. Upcoming expectations are not clear. Data is not relevant.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No background research collected.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12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Sources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Reporters choose the appropriate sources to interview, based on level of influence and leadership with their teams. A variety of types of sources are chosen. Proper scheduling of interviews is apparent.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Sources are appropriate, based on influence and leadership of teams. Interviews are scheduled.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Too few or inappropriate sources are chosen.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No interviews scheduled.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10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Questions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Prepared questions are open-ended to provide detail and based on research. Questions address both the strengths and areas of concern based on prior performance and game coverage.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Prepared questions are open-ended to provide detail and based on research.</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Prepared questions are not based on research.</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No questions are written.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15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Interviewing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Reporters use pre-interview etiquette. Questions and answers flow; approach is conversational. Reporters balance use of prepared questions with appropriate follow-up questions. Sources are made aware of possible need for follow-up and fact checking.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Reporters use pre-interview etiquette. Reporters use both prepared questions and follow-up questions.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Reporters do not use proper pre-interview etiquette. Reporters fail to ask appropriate follow-up questions.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No interviews conducted.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9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Quote sheet</w:t>
            </w:r>
          </w:p>
        </w:tc>
        <w:tc>
          <w:tcPr>
            <w:tcMar>
              <w:top w:w="100.0" w:type="dxa"/>
              <w:left w:w="100.0" w:type="dxa"/>
              <w:bottom w:w="100.0" w:type="dxa"/>
              <w:right w:w="100.0" w:type="dxa"/>
            </w:tcMar>
          </w:tcPr>
          <w:p w:rsidR="00000000" w:rsidDel="00000000" w:rsidP="00000000" w:rsidRDefault="00000000" w:rsidRPr="00000000">
            <w:pPr>
              <w:spacing w:after="600" w:line="240" w:lineRule="auto"/>
              <w:contextualSpacing w:val="0"/>
            </w:pPr>
            <w:r w:rsidDel="00000000" w:rsidR="00000000" w:rsidRPr="00000000">
              <w:rPr>
                <w:sz w:val="20"/>
                <w:szCs w:val="20"/>
                <w:rtl w:val="0"/>
              </w:rPr>
              <w:t xml:space="preserve">Reporters effectively transcribe interview, choosing material relevant to story coverage. Quotes are transcribed using correct grammar and mechanics.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Reporters effectively transcribe interview. Quotes generally follow correct grammar.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Reporters transcribe information and quotes from interview.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No quote sheet provided.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Total Points</w:t>
            </w:r>
          </w:p>
        </w:tc>
        <w:tc>
          <w:tcPr>
            <w:tcMar>
              <w:top w:w="100.0" w:type="dxa"/>
              <w:left w:w="100.0" w:type="dxa"/>
              <w:bottom w:w="100.0" w:type="dxa"/>
              <w:right w:w="100.0" w:type="dxa"/>
            </w:tcMar>
          </w:tcPr>
          <w:p w:rsidR="00000000" w:rsidDel="00000000" w:rsidP="00000000" w:rsidRDefault="00000000" w:rsidRPr="00000000">
            <w:pPr>
              <w:spacing w:after="60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__/15</w:t>
            </w:r>
          </w:p>
        </w:tc>
      </w:tr>
    </w:tbl>
    <w:p w:rsidR="00000000" w:rsidDel="00000000" w:rsidP="00000000" w:rsidRDefault="00000000" w:rsidRPr="00000000">
      <w:pPr>
        <w:spacing w:line="240" w:lineRule="auto"/>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