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Assignment: Timeline of Court Cases.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the next class meeting, each student is </w:t>
      </w:r>
      <w:r w:rsidDel="00000000" w:rsidR="00000000" w:rsidRPr="00000000">
        <w:rPr>
          <w:rtl w:val="0"/>
        </w:rPr>
        <w:t xml:space="preserve">responsible for the following: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Creating an original Timeline, using the Knight Lab tool, highlighting four of the important First Amendment court cases below.</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Finding an image to complement the descriptions for the four events, included on the timeline and sourced appropriately in the “Credit” area.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Writing a description of each case. This can include facts, connections, links to current events, impacts on future cases, how to learn more, or something else. However, all four slides should have the same type of information. Information should include the source used to obtain the information. You might choose to conduct a Google search, use online databases, or other websites approved by your instructor. The description should be written in a way that suggests the student has a deep understanding of each court case and makes connections to current events.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Proper sourcing of all information included in your Timeline.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topics of research:</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Important First Amendment Cases (examples below)</w:t>
      </w:r>
    </w:p>
    <w:p w:rsidR="00000000" w:rsidDel="00000000" w:rsidP="00000000" w:rsidRDefault="00000000" w:rsidRPr="00000000">
      <w:pPr>
        <w:numPr>
          <w:ilvl w:val="1"/>
          <w:numId w:val="2"/>
        </w:numPr>
        <w:spacing w:line="240" w:lineRule="auto"/>
        <w:ind w:left="1440" w:hanging="360"/>
        <w:contextualSpacing w:val="1"/>
        <w:rPr>
          <w:i w:val="1"/>
        </w:rPr>
      </w:pPr>
      <w:r w:rsidDel="00000000" w:rsidR="00000000" w:rsidRPr="00000000">
        <w:rPr>
          <w:i w:val="1"/>
          <w:rtl w:val="0"/>
        </w:rPr>
        <w:t xml:space="preserve">Tinker v. Des Moines</w:t>
      </w:r>
    </w:p>
    <w:p w:rsidR="00000000" w:rsidDel="00000000" w:rsidP="00000000" w:rsidRDefault="00000000" w:rsidRPr="00000000">
      <w:pPr>
        <w:numPr>
          <w:ilvl w:val="1"/>
          <w:numId w:val="2"/>
        </w:numPr>
        <w:spacing w:line="240" w:lineRule="auto"/>
        <w:ind w:left="1440" w:hanging="360"/>
        <w:contextualSpacing w:val="1"/>
        <w:rPr>
          <w:i w:val="1"/>
        </w:rPr>
      </w:pPr>
      <w:r w:rsidDel="00000000" w:rsidR="00000000" w:rsidRPr="00000000">
        <w:rPr>
          <w:i w:val="1"/>
          <w:rtl w:val="0"/>
        </w:rPr>
        <w:t xml:space="preserve">Hazelwood School District v. Kuhlmeier</w:t>
      </w:r>
    </w:p>
    <w:p w:rsidR="00000000" w:rsidDel="00000000" w:rsidP="00000000" w:rsidRDefault="00000000" w:rsidRPr="00000000">
      <w:pPr>
        <w:numPr>
          <w:ilvl w:val="1"/>
          <w:numId w:val="2"/>
        </w:numPr>
        <w:spacing w:line="240" w:lineRule="auto"/>
        <w:ind w:left="1440" w:hanging="360"/>
        <w:contextualSpacing w:val="1"/>
        <w:rPr>
          <w:i w:val="1"/>
        </w:rPr>
      </w:pPr>
      <w:r w:rsidDel="00000000" w:rsidR="00000000" w:rsidRPr="00000000">
        <w:rPr>
          <w:i w:val="1"/>
          <w:rtl w:val="0"/>
        </w:rPr>
        <w:t xml:space="preserve">Dean vs. Utica Community Schools</w:t>
      </w:r>
    </w:p>
    <w:p w:rsidR="00000000" w:rsidDel="00000000" w:rsidP="00000000" w:rsidRDefault="00000000" w:rsidRPr="00000000">
      <w:pPr>
        <w:numPr>
          <w:ilvl w:val="1"/>
          <w:numId w:val="2"/>
        </w:numPr>
        <w:spacing w:line="240" w:lineRule="auto"/>
        <w:ind w:left="1440" w:hanging="360"/>
        <w:contextualSpacing w:val="1"/>
        <w:rPr>
          <w:i w:val="1"/>
        </w:rPr>
      </w:pPr>
      <w:r w:rsidDel="00000000" w:rsidR="00000000" w:rsidRPr="00000000">
        <w:rPr>
          <w:i w:val="1"/>
          <w:rtl w:val="0"/>
        </w:rPr>
        <w:t xml:space="preserve">Bethel School District v. Fraser</w:t>
      </w:r>
    </w:p>
    <w:p w:rsidR="00000000" w:rsidDel="00000000" w:rsidP="00000000" w:rsidRDefault="00000000" w:rsidRPr="00000000">
      <w:pPr>
        <w:numPr>
          <w:ilvl w:val="1"/>
          <w:numId w:val="2"/>
        </w:numPr>
        <w:spacing w:line="240" w:lineRule="auto"/>
        <w:ind w:left="1440" w:hanging="360"/>
        <w:contextualSpacing w:val="1"/>
        <w:rPr>
          <w:i w:val="1"/>
        </w:rPr>
      </w:pPr>
      <w:r w:rsidDel="00000000" w:rsidR="00000000" w:rsidRPr="00000000">
        <w:rPr>
          <w:i w:val="1"/>
          <w:rtl w:val="0"/>
        </w:rPr>
        <w:t xml:space="preserve">Morse v. Frederick</w:t>
      </w: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